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color w:val="1F3864"/>
          <w:sz w:val="36"/>
          <w:szCs w:val="36"/>
        </w:rPr>
        <w:t xml:space="preserve">Ihor Masiakin</w:t>
      </w:r>
    </w:p>
    <w:p>
      <w:pPr>
        <w:spacing w:after="60"/>
        <w:jc w:val="center"/>
      </w:pPr>
      <w:r>
        <w:rPr>
          <w:i/>
          <w:iCs/>
          <w:color w:val="5A5A5A"/>
          <w:sz w:val="24"/>
          <w:szCs w:val="24"/>
        </w:rPr>
        <w:t xml:space="preserve">Curriculum Vitae</w:t>
      </w:r>
    </w:p>
    <w:p>
      <w:pPr>
        <w:spacing w:after="240"/>
        <w:jc w:val="center"/>
      </w:pPr>
      <w:r>
        <w:rPr>
          <w:sz w:val="22"/>
          <w:szCs w:val="22"/>
        </w:rPr>
        <w:t xml:space="preserve">Email: imaslegal@gmail.com    │    Tel: +372 58 07 17 25  (EE),  +380 95 598 55 79  (UA)</w:t>
      </w:r>
    </w:p>
    <w:p>
      <w:pPr>
        <w:pStyle w:val="Heading1"/>
        <w:spacing w:after="120" w:before="320"/>
      </w:pPr>
      <w:r>
        <w:rPr>
          <w:b/>
          <w:bCs/>
          <w:color w:val="1F3864"/>
          <w:sz w:val="26"/>
          <w:szCs w:val="26"/>
        </w:rPr>
        <w:t xml:space="preserve">I. Personal Details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1. Name</w:t>
      </w:r>
    </w:p>
    <w:p>
      <w:pPr>
        <w:spacing w:after="80" w:before="0"/>
      </w:pPr>
      <w:r>
        <w:rPr>
          <w:sz w:val="22"/>
          <w:szCs w:val="22"/>
        </w:rPr>
        <w:t xml:space="preserve">Ihor Masiakin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2. Contact Information</w:t>
      </w:r>
    </w:p>
    <w:p>
      <w:pPr>
        <w:spacing w:after="80" w:before="0"/>
      </w:pPr>
      <w:r>
        <w:rPr>
          <w:sz w:val="22"/>
          <w:szCs w:val="22"/>
        </w:rPr>
        <w:t xml:space="preserve">Email: imaslegal@gmail.com</w:t>
      </w:r>
    </w:p>
    <w:p>
      <w:pPr>
        <w:spacing w:after="80" w:before="0"/>
      </w:pPr>
      <w:r>
        <w:rPr>
          <w:sz w:val="22"/>
          <w:szCs w:val="22"/>
        </w:rPr>
        <w:t xml:space="preserve">Telephone: +372 58 07 17 25 (Estonia); +380 95 598 55 79 (Ukraine)</w:t>
      </w:r>
    </w:p>
    <w:p>
      <w:pPr>
        <w:spacing w:after="80" w:before="0"/>
      </w:pPr>
      <w:r>
        <w:rPr>
          <w:sz w:val="22"/>
          <w:szCs w:val="22"/>
        </w:rPr>
        <w:t xml:space="preserve">Location: Tallinn, Estonia</w:t>
      </w:r>
    </w:p>
    <w:p>
      <w:pPr>
        <w:spacing w:after="80" w:before="0"/>
      </w:pPr>
      <w:r>
        <w:rPr>
          <w:sz w:val="22"/>
          <w:szCs w:val="22"/>
        </w:rPr>
        <w:t xml:space="preserve">Research profile: EU Enlargement Hub, https://enlargementhub.eu/team-member/ihor-masiakin/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3. Education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2024 – 2025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Central European University (Vienna, Austria)</w:t>
            </w:r>
          </w:p>
          <w:p>
            <w:r>
              <w:rPr>
                <w:sz w:val="22"/>
                <w:szCs w:val="22"/>
              </w:rPr>
              <w:t xml:space="preserve">M.A. in Political Science (with distinction)</w:t>
            </w:r>
          </w:p>
          <w:p>
            <w:r>
              <w:rPr>
                <w:i/>
                <w:iCs/>
                <w:sz w:val="22"/>
                <w:szCs w:val="22"/>
              </w:rPr>
              <w:t xml:space="preserve">Thesis: “Drones and Dependency: Strategic Alignment, Tactical Hedging, and Asymmetric Interdependence in China–Russia Military Cooperation”</w:t>
            </w:r>
          </w:p>
          <w:p>
            <w:r>
              <w:rPr>
                <w:i/>
                <w:iCs/>
                <w:sz w:val="22"/>
                <w:szCs w:val="22"/>
              </w:rPr>
              <w:t xml:space="preserve">Supervisor: [TO BE FILLED]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2021 – 2022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Queen Mary University of London (United Kingdom)</w:t>
            </w:r>
          </w:p>
          <w:p>
            <w:r>
              <w:rPr>
                <w:sz w:val="22"/>
                <w:szCs w:val="22"/>
              </w:rPr>
              <w:t xml:space="preserve">LL.M. in International Tax Law (Merit)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2017 – 2019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National University of Kyiv-Mohyla Academy (Kyiv, Ukraine)</w:t>
            </w:r>
          </w:p>
          <w:p>
            <w:r>
              <w:rPr>
                <w:sz w:val="22"/>
                <w:szCs w:val="22"/>
              </w:rPr>
              <w:t xml:space="preserve">LL.M. in Law (Merit)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2014 – 2019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Taras Shevchenko National University of Kyiv (Ukraine)</w:t>
            </w:r>
          </w:p>
          <w:p>
            <w:r>
              <w:rPr>
                <w:sz w:val="22"/>
                <w:szCs w:val="22"/>
              </w:rPr>
              <w:t xml:space="preserve">B.A. in Political Science and Governance (Merit)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2013 – 2017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Taras Shevchenko National University of Kyiv, Faculty of Law (Ukraine)</w:t>
            </w:r>
          </w:p>
          <w:p>
            <w:r>
              <w:rPr>
                <w:sz w:val="22"/>
                <w:szCs w:val="22"/>
              </w:rPr>
              <w:t xml:space="preserve">LL.B. in Law (Merit)</w:t>
            </w:r>
          </w:p>
        </w:tc>
      </w:tr>
    </w:tbl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4. Employment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09.2025 – Present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CEU Democracy Institute (Budapest, Hungary)</w:t>
            </w:r>
            <w:r>
              <w:rPr>
                <w:sz w:val="22"/>
                <w:szCs w:val="22"/>
              </w:rPr>
              <w:t xml:space="preserve"> │ EU Enlargement Hub │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Junior Visiting Researcher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Researching EU–Ukraine defence-tech integration, focusing on how legal, financial, and governance frameworks enable startups to access capital and join transatlantic value chains.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Analysing instruments including EDF/EUDIS, EDIP, InvestEU, EIB/EBRD, and NATO DIANA/NIF to identify regulatory and financing bottlenecks affecting dual-use innovation and market access.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Conducting empirical study under the supervision of Prof. Renata Uitz (CEU Democracy Institute) and Prof. Inna Melnykovska (EUI) within the EU Enlargement Hub.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07.2024 – Present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Deftak</w:t>
            </w:r>
            <w:r>
              <w:rPr>
                <w:sz w:val="22"/>
                <w:szCs w:val="22"/>
              </w:rPr>
              <w:t xml:space="preserve"> │ Estonia / Ukraine │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Co-founder, Board Member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Co-founded Deftak, a Ukrainian–Estonian defence-tech startup developing GPS-denied, precision-strike drone munitions, guiding strategic vision and compliance with European and NATO defence value chains.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As Board Member, led oversight of governance, dual-use regulatory alignment, and market-entry strategy to ensure Deftak’s integration into EU and NATO procurement ecosystems.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Led investor relations and capital-raising efforts, including securing €600,000 from the European defence fund Darkstar.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08.2021 – Present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Solid Info</w:t>
            </w:r>
            <w:r>
              <w:rPr>
                <w:sz w:val="22"/>
                <w:szCs w:val="22"/>
              </w:rPr>
              <w:t xml:space="preserve"> │ Estonia / Ukraine │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Co-founder, CEO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Established and lead a team of 15 regional experts (covering Russia, China, Iran, North Korea, Japan, India, the United States, and other regions) producing weekly political and economic reports.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Delivered over 400 in-depth analyses used by Ukrainian policymakers, the Ministry of Foreign Affairs of Ukraine, businesses, foreign diplomats, and international media outlets.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Provided strategic policy support to high-ranking Ukrainian delegations preparing for international diplomatic summits since 2022.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11.2019 – Present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Ministry of Finance of Ukraine</w:t>
            </w:r>
            <w:r>
              <w:rPr>
                <w:sz w:val="22"/>
                <w:szCs w:val="22"/>
              </w:rPr>
              <w:t xml:space="preserve"> │ Recovery and Reform Support Team │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Project Manager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Operate within the Ukraine Recovery and Reform Architecture (URA), a technical assistance programme deployed by the European Bank for Reconstruction and Development (EBRD) in partnership with the EU.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Contributed to strengthening Ukraine’s Anti-Money Laundering (AML) and sanctions policies in response to the Russian invasion.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Supported the alignment of Ukrainian finance and tax legislation with EU law and OECD standards.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Provided expert assistance in completing the OECD peer review of Country-by-Country (CbC) Reporting implementation.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Contributed to State Tax Service (STS) policy development to counteract tax-base erosion in line with the BEPS Action Plan.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Drafted over 17 successful legislative and regulatory proposals.</w:t>
            </w:r>
          </w:p>
        </w:tc>
      </w:tr>
      <w:tr>
        <w:tc>
          <w:tcPr>
            <w:tcW w:type="dxa" w:w="216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02.2018 – 11.2019</w:t>
            </w:r>
          </w:p>
        </w:tc>
        <w:tc>
          <w:tcPr>
            <w:tcW w:type="dxa" w:w="7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KPMG Ukraine</w:t>
            </w:r>
            <w:r>
              <w:rPr>
                <w:sz w:val="22"/>
                <w:szCs w:val="22"/>
              </w:rPr>
              <w:t xml:space="preserve"> │ Kyiv │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International Tax and Legal Consultant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 xml:space="preserve">Provided consultancy on international tax and legal matters: inbound investment transactions, cross-border mergers of EU-based holdings, and EBRD loans for infrastructure projects.</w:t>
            </w:r>
          </w:p>
        </w:tc>
      </w:tr>
    </w:tbl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5. Language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Ukrainian — Native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Russian — Native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English — C1 (proficient; medium of instruction at Queen Mary University of London and Central European University)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German — B1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Estonian — A1</w:t>
      </w:r>
    </w:p>
    <w:p>
      <w:pPr>
        <w:pStyle w:val="Heading1"/>
        <w:spacing w:after="120" w:before="320"/>
      </w:pPr>
      <w:r>
        <w:rPr>
          <w:b/>
          <w:bCs/>
          <w:color w:val="1F3864"/>
          <w:sz w:val="26"/>
          <w:szCs w:val="26"/>
        </w:rPr>
        <w:t xml:space="preserve">II. Research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6. Major Research Fields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Comparative political economy of EU industrial policy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Defence-industrial governance and EU strategic autonomy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Financing governance and the design of public financial instruments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Integration of outsider firms into EU strategic value chains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Ukraine’s European integration and defence-technology sector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Differentiated integration and graded membership in the European Union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7. List of Publications</w:t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Peer-reviewed articles: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Masiakin, I., &amp; Muzyka-Stefanchuk, O. (2023). </w:t>
      </w:r>
      <w:r>
        <w:rPr>
          <w:i/>
          <w:iCs/>
          <w:sz w:val="22"/>
          <w:szCs w:val="22"/>
        </w:rPr>
        <w:t xml:space="preserve">Analysis of certain provisions of the Multilateral Convention (MLI) in the context of the BEPS Action Plan. </w:t>
      </w:r>
      <w:r>
        <w:rPr>
          <w:sz w:val="22"/>
          <w:szCs w:val="22"/>
        </w:rPr>
        <w:t xml:space="preserve">Juridical Scientific and Electronic Journal. https://doi.org/10.32841/2307-1745.2023.63.14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Masiakin, I. (2023). </w:t>
      </w:r>
      <w:r>
        <w:rPr>
          <w:i/>
          <w:iCs/>
          <w:sz w:val="22"/>
          <w:szCs w:val="22"/>
        </w:rPr>
        <w:t xml:space="preserve">On the application of the Multilateral Convention (MLI). </w:t>
      </w:r>
      <w:r>
        <w:rPr>
          <w:sz w:val="22"/>
          <w:szCs w:val="22"/>
        </w:rPr>
        <w:t xml:space="preserve">Juridical Scientific and Electronic Journal, 63, 66–76. https://doi.org/10.32841/2307-1745.2023.63.66</w:t>
      </w:r>
    </w:p>
    <w:p>
      <w:pPr>
        <w:spacing w:after="60" w:before="100"/>
      </w:pPr>
      <w:r>
        <w:rPr>
          <w:b/>
          <w:bCs/>
          <w:sz w:val="22"/>
          <w:szCs w:val="22"/>
        </w:rPr>
        <w:t xml:space="preserve">Master’s thesis: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Masiakin, I. (2025). </w:t>
      </w:r>
      <w:r>
        <w:rPr>
          <w:i/>
          <w:iCs/>
          <w:sz w:val="22"/>
          <w:szCs w:val="22"/>
        </w:rPr>
        <w:t xml:space="preserve">Drones and Dependency: Strategic Alignment, Tactical Hedging, and Asymmetric Interdependence in China–Russia Military Cooperation </w:t>
      </w:r>
      <w:r>
        <w:rPr>
          <w:sz w:val="22"/>
          <w:szCs w:val="22"/>
        </w:rPr>
        <w:t xml:space="preserve">(Master’s thesis, Central European University). CEU Electronic Theses &amp; Dissertations. https://www.etd.ceu.edu/2025/masiakin_ihor.pdf</w:t>
      </w:r>
    </w:p>
    <w:p>
      <w:pPr>
        <w:spacing w:after="60" w:before="100"/>
      </w:pPr>
      <w:r>
        <w:rPr>
          <w:b/>
          <w:bCs/>
          <w:sz w:val="22"/>
          <w:szCs w:val="22"/>
        </w:rPr>
        <w:t xml:space="preserve">Policy research (ongoing):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Melnykovska, I., &amp; Masiakin, I. (forthcoming, 2026). </w:t>
      </w:r>
      <w:r>
        <w:rPr>
          <w:i/>
          <w:iCs/>
          <w:sz w:val="22"/>
          <w:szCs w:val="22"/>
        </w:rPr>
        <w:t xml:space="preserve">Policy brief on the integration of Ukrainian defence-technology firms into EU markets </w:t>
      </w:r>
      <w:r>
        <w:rPr>
          <w:sz w:val="22"/>
          <w:szCs w:val="22"/>
        </w:rPr>
        <w:t xml:space="preserve">(working title). CEU Democracy Institute and EU Enlargement Hub.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8. Grants and Scholarships Received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Chevening Scholarship Award (2021) — UK Foreign, Commonwealth and Development Office. Awarded for the LL.M. in International Tax Law at Queen Mary University of London.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any CEU MA tuition award/stipend, if applicable]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any further fellowships or research grants, if applicable]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9. Recognitions, Rewards, Prizes Received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M.A. in Political Science awarded with distinction, Central European University (2025)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LL.M. in International Tax Law awarded with Merit, Queen Mary University of London (2022)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LL.M. in Law awarded with Merit, National University of Kyiv-Mohyla Academy (2019)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B.A. in Political Science and Governance awarded with Merit, Taras Shevchenko National University of Kyiv (2019)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LL.B. in Law awarded with Merit, Taras Shevchenko National University of Kyiv (2017)</w:t>
      </w:r>
    </w:p>
    <w:p>
      <w:pPr>
        <w:pStyle w:val="Heading2"/>
        <w:spacing w:after="100" w:before="220"/>
      </w:pPr>
      <w:r>
        <w:rPr>
          <w:b/>
          <w:bCs/>
          <w:color w:val="2E5495"/>
          <w:sz w:val="24"/>
          <w:szCs w:val="24"/>
        </w:rPr>
        <w:t xml:space="preserve">10. Other Research-Related Contributions</w:t>
      </w:r>
    </w:p>
    <w:p>
      <w:pPr>
        <w:spacing w:after="60" w:before="60"/>
      </w:pPr>
      <w:r>
        <w:rPr>
          <w:b/>
          <w:bCs/>
          <w:sz w:val="22"/>
          <w:szCs w:val="22"/>
        </w:rPr>
        <w:t xml:space="preserve">Academic affiliation: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Junior Visiting Researcher, CEU Democracy Institute (2025–present)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Affiliated researcher, EU Enlargement Hub, European University Institute (2025–present)</w:t>
      </w:r>
    </w:p>
    <w:p>
      <w:pPr>
        <w:spacing w:after="60" w:before="100"/>
      </w:pPr>
      <w:r>
        <w:rPr>
          <w:b/>
          <w:bCs/>
          <w:sz w:val="22"/>
          <w:szCs w:val="22"/>
        </w:rPr>
        <w:t xml:space="preserve">Conference and academic presentations: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EUI conference on Ukrainian defence-tech integration, May 2026 — please add exact title, panel, and date]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any further presentations or invited talks]</w:t>
      </w:r>
    </w:p>
    <w:p>
      <w:pPr>
        <w:spacing w:after="60" w:before="100"/>
      </w:pPr>
      <w:r>
        <w:rPr>
          <w:b/>
          <w:bCs/>
          <w:sz w:val="22"/>
          <w:szCs w:val="22"/>
        </w:rPr>
        <w:t xml:space="preserve">Policy and advisory engagements informing research: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Advisory work with Ukrainian defence-technology startups navigating EU financing instruments (2024–present)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Expert engagement with the Ministry of Finance of Ukraine and the Ministry of Digital Transformation of Ukraine on defence-financing frameworks, including the Brave1, BraveMarket, and BraveTech EU programmes</w:t>
      </w:r>
    </w:p>
    <w:p>
      <w:pPr>
        <w:pStyle w:val="Heading1"/>
        <w:spacing w:after="120" w:before="320"/>
      </w:pPr>
      <w:r>
        <w:rPr>
          <w:b/>
          <w:bCs/>
          <w:color w:val="1F3864"/>
          <w:sz w:val="26"/>
          <w:szCs w:val="26"/>
        </w:rPr>
        <w:t xml:space="preserve">III. Further Training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any methodology workshops, summer schools, or professional certifications. For example, process-tracing workshops, research design courses, or thematic summer schools, with dates and providers]</w:t>
      </w:r>
    </w:p>
    <w:p>
      <w:pPr>
        <w:pStyle w:val="Heading1"/>
        <w:spacing w:after="120" w:before="320"/>
      </w:pPr>
      <w:r>
        <w:rPr>
          <w:b/>
          <w:bCs/>
          <w:color w:val="1F3864"/>
          <w:sz w:val="26"/>
          <w:szCs w:val="26"/>
        </w:rPr>
        <w:t xml:space="preserve">IV. Public and Social Activities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Co-founder and CEO of Solid Info, a Ukrainian–Estonian analytical platform producing political and economic reports widely used by Ukrainian policymakers, foreign diplomats, and international media outlets (2021–present)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Advisor to Ukrainian defence-technology startups establishing themselves in Estonia and entering EU markets (2024–present)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Public commentary on Ukrainian defence-tech integration and EU strategic autonomy in policy discussions and expert convenings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[TO BE FILLED: any media appearances, opinion pieces, or NGO board positions, if applicable]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Ihor Masiakin</dc:creator>
  <cp:lastModifiedBy>Un-named</cp:lastModifiedBy>
  <cp:revision>1</cp:revision>
  <dcterms:created xsi:type="dcterms:W3CDTF">2026-05-14T04:32:35.879Z</dcterms:created>
  <dcterms:modified xsi:type="dcterms:W3CDTF">2026-05-14T04:32:35.879Z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